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A87" w:rsidRDefault="00112A87" w:rsidP="00845EDA">
      <w:pPr>
        <w:jc w:val="center"/>
        <w:rPr>
          <w:rFonts w:ascii="Arial" w:hAnsi="Arial" w:cs="Arial"/>
          <w:sz w:val="24"/>
          <w:szCs w:val="24"/>
          <w:lang w:val="it-IT"/>
        </w:rPr>
      </w:pPr>
    </w:p>
    <w:p w:rsidR="00845EDA" w:rsidRDefault="00845EDA" w:rsidP="00845EDA">
      <w:pPr>
        <w:jc w:val="center"/>
        <w:rPr>
          <w:rFonts w:ascii="Arial" w:hAnsi="Arial" w:cs="Arial"/>
          <w:sz w:val="24"/>
          <w:szCs w:val="24"/>
          <w:lang w:val="it-IT"/>
        </w:rPr>
      </w:pPr>
      <w:r w:rsidRPr="00845EDA">
        <w:rPr>
          <w:rFonts w:ascii="Arial" w:hAnsi="Arial" w:cs="Arial"/>
          <w:sz w:val="24"/>
          <w:szCs w:val="24"/>
          <w:lang w:val="it-IT"/>
        </w:rPr>
        <w:t>Programma corso ECM</w:t>
      </w:r>
      <w:r>
        <w:rPr>
          <w:rFonts w:ascii="Arial" w:hAnsi="Arial" w:cs="Arial"/>
          <w:sz w:val="24"/>
          <w:szCs w:val="24"/>
          <w:lang w:val="it-IT"/>
        </w:rPr>
        <w:t>:</w:t>
      </w:r>
    </w:p>
    <w:p w:rsidR="00112A87" w:rsidRDefault="00112A87" w:rsidP="00845EDA">
      <w:pPr>
        <w:jc w:val="center"/>
        <w:rPr>
          <w:rFonts w:ascii="Arial" w:hAnsi="Arial" w:cs="Arial"/>
          <w:sz w:val="24"/>
          <w:szCs w:val="24"/>
          <w:lang w:val="it-IT"/>
        </w:rPr>
      </w:pPr>
      <w:r>
        <w:rPr>
          <w:rFonts w:ascii="Arial" w:hAnsi="Arial" w:cs="Arial"/>
          <w:sz w:val="24"/>
          <w:szCs w:val="24"/>
          <w:lang w:val="it-IT"/>
        </w:rPr>
        <w:t>ROMA 30 luglio 2018</w:t>
      </w:r>
    </w:p>
    <w:p w:rsidR="00112A87" w:rsidRDefault="00112A87" w:rsidP="00112A87">
      <w:pPr>
        <w:jc w:val="center"/>
        <w:rPr>
          <w:rFonts w:ascii="Arial" w:hAnsi="Arial" w:cs="Arial"/>
          <w:sz w:val="24"/>
          <w:szCs w:val="24"/>
          <w:lang w:val="it-IT"/>
        </w:rPr>
      </w:pPr>
      <w:r>
        <w:rPr>
          <w:rFonts w:ascii="Arial" w:hAnsi="Arial" w:cs="Arial"/>
          <w:sz w:val="24"/>
          <w:szCs w:val="24"/>
          <w:lang w:val="it-IT"/>
        </w:rPr>
        <w:t>NEUROLOGICAL CENTRE OF LATIUM</w:t>
      </w:r>
    </w:p>
    <w:p w:rsidR="00112A87" w:rsidRDefault="00112A87" w:rsidP="00112A87">
      <w:pPr>
        <w:jc w:val="center"/>
        <w:rPr>
          <w:rFonts w:ascii="Arial" w:hAnsi="Arial" w:cs="Arial"/>
          <w:sz w:val="24"/>
          <w:szCs w:val="24"/>
          <w:lang w:val="it-IT"/>
        </w:rPr>
      </w:pPr>
      <w:r>
        <w:rPr>
          <w:rFonts w:ascii="Arial" w:hAnsi="Arial" w:cs="Arial"/>
          <w:sz w:val="24"/>
          <w:szCs w:val="24"/>
          <w:lang w:val="it-IT"/>
        </w:rPr>
        <w:t xml:space="preserve">ISTITUTO DI NEUROSCIENZE </w:t>
      </w:r>
      <w:bookmarkStart w:id="0" w:name="_GoBack"/>
      <w:bookmarkEnd w:id="0"/>
    </w:p>
    <w:p w:rsidR="00112A87" w:rsidRDefault="00112A87" w:rsidP="00BC096A">
      <w:pPr>
        <w:jc w:val="center"/>
        <w:rPr>
          <w:rFonts w:ascii="Arial" w:hAnsi="Arial" w:cs="Arial"/>
          <w:sz w:val="24"/>
          <w:szCs w:val="24"/>
          <w:lang w:val="it-IT"/>
        </w:rPr>
      </w:pPr>
      <w:r>
        <w:rPr>
          <w:rFonts w:ascii="Arial" w:hAnsi="Arial" w:cs="Arial"/>
          <w:sz w:val="24"/>
          <w:szCs w:val="24"/>
          <w:lang w:val="it-IT"/>
        </w:rPr>
        <w:t>Via Patrica 15</w:t>
      </w:r>
    </w:p>
    <w:p w:rsidR="008C354F" w:rsidRPr="00BC096A" w:rsidRDefault="00845EDA" w:rsidP="00845EDA">
      <w:pPr>
        <w:jc w:val="center"/>
        <w:rPr>
          <w:rFonts w:ascii="Arial" w:hAnsi="Arial" w:cs="Arial"/>
          <w:b/>
          <w:sz w:val="24"/>
          <w:szCs w:val="24"/>
          <w:lang w:val="it-IT"/>
        </w:rPr>
      </w:pPr>
      <w:r w:rsidRPr="00BC096A">
        <w:rPr>
          <w:rFonts w:ascii="Arial" w:hAnsi="Arial" w:cs="Arial"/>
          <w:b/>
          <w:sz w:val="24"/>
          <w:szCs w:val="24"/>
          <w:lang w:val="it-IT"/>
        </w:rPr>
        <w:t>Epidemiologia e controllo delle infezioni ospedaliere</w:t>
      </w:r>
    </w:p>
    <w:tbl>
      <w:tblPr>
        <w:tblStyle w:val="Grigliatabella"/>
        <w:tblW w:w="0" w:type="auto"/>
        <w:tblLook w:val="04A0" w:firstRow="1" w:lastRow="0" w:firstColumn="1" w:lastColumn="0" w:noHBand="0" w:noVBand="1"/>
      </w:tblPr>
      <w:tblGrid>
        <w:gridCol w:w="1363"/>
        <w:gridCol w:w="4548"/>
        <w:gridCol w:w="3717"/>
      </w:tblGrid>
      <w:tr w:rsidR="00845EDA" w:rsidRPr="00845EDA" w:rsidTr="00845EDA">
        <w:tc>
          <w:tcPr>
            <w:tcW w:w="1384" w:type="dxa"/>
          </w:tcPr>
          <w:p w:rsidR="00845EDA" w:rsidRPr="00845EDA" w:rsidRDefault="00E6638D" w:rsidP="00E6638D">
            <w:pPr>
              <w:jc w:val="center"/>
              <w:rPr>
                <w:rFonts w:ascii="TTE2B465D0t00" w:hAnsi="TTE2B465D0t00" w:cs="TTE2B465D0t00"/>
                <w:lang w:val="it-IT"/>
              </w:rPr>
            </w:pPr>
            <w:r>
              <w:rPr>
                <w:rFonts w:ascii="TTE2B465D0t00" w:hAnsi="TTE2B465D0t00" w:cs="TTE2B465D0t00"/>
                <w:lang w:val="it-IT"/>
              </w:rPr>
              <w:t>Orario</w:t>
            </w:r>
          </w:p>
        </w:tc>
        <w:tc>
          <w:tcPr>
            <w:tcW w:w="4654" w:type="dxa"/>
          </w:tcPr>
          <w:p w:rsidR="00845EDA" w:rsidRPr="00845EDA" w:rsidRDefault="00845EDA" w:rsidP="00845EDA">
            <w:pPr>
              <w:jc w:val="center"/>
              <w:rPr>
                <w:rFonts w:ascii="TTE2B465D0t00" w:hAnsi="TTE2B465D0t00" w:cs="TTE2B465D0t00"/>
                <w:lang w:val="it-IT"/>
              </w:rPr>
            </w:pPr>
            <w:r>
              <w:rPr>
                <w:rFonts w:ascii="TTE2B465D0t00" w:hAnsi="TTE2B465D0t00" w:cs="TTE2B465D0t00"/>
                <w:lang w:val="it-IT"/>
              </w:rPr>
              <w:t>Argomento</w:t>
            </w:r>
          </w:p>
        </w:tc>
        <w:tc>
          <w:tcPr>
            <w:tcW w:w="3816" w:type="dxa"/>
          </w:tcPr>
          <w:p w:rsidR="00845EDA" w:rsidRPr="00845EDA" w:rsidRDefault="00845EDA" w:rsidP="00845EDA">
            <w:pPr>
              <w:jc w:val="center"/>
              <w:rPr>
                <w:rFonts w:ascii="TTE2B465D0t00" w:hAnsi="TTE2B465D0t00" w:cs="TTE2B465D0t00"/>
                <w:lang w:val="it-IT"/>
              </w:rPr>
            </w:pPr>
            <w:r>
              <w:rPr>
                <w:rFonts w:ascii="TTE2B465D0t00" w:hAnsi="TTE2B465D0t00" w:cs="TTE2B465D0t00"/>
                <w:lang w:val="it-IT"/>
              </w:rPr>
              <w:t>Relatore</w:t>
            </w:r>
          </w:p>
        </w:tc>
      </w:tr>
      <w:tr w:rsidR="00845EDA" w:rsidRPr="00845EDA" w:rsidTr="00845EDA">
        <w:tc>
          <w:tcPr>
            <w:tcW w:w="1384" w:type="dxa"/>
          </w:tcPr>
          <w:p w:rsidR="00845EDA" w:rsidRPr="00845EDA" w:rsidRDefault="007C16FF" w:rsidP="00E6638D">
            <w:pPr>
              <w:jc w:val="center"/>
              <w:rPr>
                <w:rFonts w:ascii="TTE2B465D0t00" w:hAnsi="TTE2B465D0t00" w:cs="TTE2B465D0t00"/>
                <w:lang w:val="it-IT"/>
              </w:rPr>
            </w:pPr>
            <w:r w:rsidRPr="001851C4">
              <w:rPr>
                <w:rFonts w:ascii="TTE2B465D0t00" w:hAnsi="TTE2B465D0t00" w:cs="TTE2B465D0t00"/>
                <w:color w:val="FF0000"/>
                <w:lang w:val="it-IT"/>
              </w:rPr>
              <w:t>8,45</w:t>
            </w:r>
          </w:p>
        </w:tc>
        <w:tc>
          <w:tcPr>
            <w:tcW w:w="4654" w:type="dxa"/>
          </w:tcPr>
          <w:p w:rsidR="00845EDA" w:rsidRPr="00845EDA" w:rsidRDefault="00845EDA" w:rsidP="00B427A1">
            <w:pPr>
              <w:rPr>
                <w:rFonts w:ascii="TTE2B465D0t00" w:hAnsi="TTE2B465D0t00" w:cs="TTE2B465D0t00"/>
                <w:lang w:val="it-IT"/>
              </w:rPr>
            </w:pPr>
            <w:r w:rsidRPr="00845EDA">
              <w:rPr>
                <w:rFonts w:ascii="TTE2B465D0t00" w:hAnsi="TTE2B465D0t00" w:cs="TTE2B465D0t00"/>
                <w:lang w:val="it-IT"/>
              </w:rPr>
              <w:t>Presentazione del corso ed apertura dei lavori</w:t>
            </w:r>
          </w:p>
        </w:tc>
        <w:tc>
          <w:tcPr>
            <w:tcW w:w="3816" w:type="dxa"/>
          </w:tcPr>
          <w:p w:rsidR="00845EDA" w:rsidRPr="00845EDA" w:rsidRDefault="00845EDA" w:rsidP="00B427A1">
            <w:pPr>
              <w:rPr>
                <w:rFonts w:ascii="TTE2B465D0t00" w:hAnsi="TTE2B465D0t00" w:cs="TTE2B465D0t00"/>
                <w:color w:val="C0504D" w:themeColor="accent2"/>
                <w:lang w:val="it-IT"/>
              </w:rPr>
            </w:pPr>
            <w:r w:rsidRPr="00845EDA">
              <w:rPr>
                <w:rFonts w:ascii="TTE2B465D0t00" w:hAnsi="TTE2B465D0t00" w:cs="TTE2B465D0t00"/>
                <w:lang w:val="it-IT"/>
              </w:rPr>
              <w:t xml:space="preserve">  </w:t>
            </w:r>
            <w:r w:rsidRPr="00845EDA">
              <w:rPr>
                <w:rFonts w:ascii="TTE2B465D0t00" w:hAnsi="TTE2B465D0t00" w:cs="TTE2B465D0t00"/>
                <w:color w:val="C0504D" w:themeColor="accent2"/>
                <w:lang w:val="it-IT"/>
              </w:rPr>
              <w:t>Direttore Sanitario</w:t>
            </w:r>
            <w:r w:rsidR="001851C4">
              <w:rPr>
                <w:rFonts w:ascii="TTE2B465D0t00" w:hAnsi="TTE2B465D0t00" w:cs="TTE2B465D0t00"/>
                <w:color w:val="C0504D" w:themeColor="accent2"/>
                <w:lang w:val="it-IT"/>
              </w:rPr>
              <w:t xml:space="preserve"> NCL</w:t>
            </w:r>
          </w:p>
        </w:tc>
      </w:tr>
      <w:tr w:rsidR="00845EDA" w:rsidRPr="00845EDA" w:rsidTr="00845EDA">
        <w:tc>
          <w:tcPr>
            <w:tcW w:w="1384" w:type="dxa"/>
          </w:tcPr>
          <w:p w:rsidR="00845EDA" w:rsidRPr="00845EDA" w:rsidRDefault="007C16FF" w:rsidP="00E6638D">
            <w:pPr>
              <w:jc w:val="center"/>
              <w:rPr>
                <w:rFonts w:ascii="TTE2B465D0t00" w:hAnsi="TTE2B465D0t00" w:cs="TTE2B465D0t00"/>
                <w:color w:val="C0504D" w:themeColor="accent2"/>
                <w:lang w:val="it-IT"/>
              </w:rPr>
            </w:pPr>
            <w:r>
              <w:rPr>
                <w:rFonts w:ascii="TTE2B465D0t00" w:hAnsi="TTE2B465D0t00" w:cs="TTE2B465D0t00"/>
                <w:color w:val="C0504D" w:themeColor="accent2"/>
                <w:lang w:val="it-IT"/>
              </w:rPr>
              <w:t>9</w:t>
            </w:r>
          </w:p>
        </w:tc>
        <w:tc>
          <w:tcPr>
            <w:tcW w:w="4654" w:type="dxa"/>
          </w:tcPr>
          <w:p w:rsidR="00845EDA" w:rsidRPr="00845EDA" w:rsidRDefault="00845EDA" w:rsidP="00B427A1">
            <w:pPr>
              <w:rPr>
                <w:rFonts w:ascii="TTE2B465D0t00" w:hAnsi="TTE2B465D0t00" w:cs="TTE2B465D0t00"/>
                <w:color w:val="C0504D" w:themeColor="accent2"/>
                <w:lang w:val="it-IT"/>
              </w:rPr>
            </w:pPr>
            <w:r w:rsidRPr="00845EDA">
              <w:rPr>
                <w:rFonts w:ascii="TTE29CFF90t00" w:hAnsi="TTE29CFF90t00" w:cs="TTE29CFF90t00"/>
                <w:lang w:val="it-IT"/>
              </w:rPr>
              <w:t>Le infezioni ospedaliere: epidemiologia e statistica sanitaria</w:t>
            </w:r>
          </w:p>
        </w:tc>
        <w:tc>
          <w:tcPr>
            <w:tcW w:w="3816" w:type="dxa"/>
          </w:tcPr>
          <w:p w:rsidR="00845EDA" w:rsidRPr="00845EDA" w:rsidRDefault="00293060" w:rsidP="00B427A1">
            <w:pPr>
              <w:rPr>
                <w:rFonts w:ascii="Arial" w:hAnsi="Arial" w:cs="Arial"/>
                <w:color w:val="C0504D" w:themeColor="accent2"/>
                <w:sz w:val="24"/>
                <w:szCs w:val="24"/>
                <w:lang w:val="it-IT"/>
              </w:rPr>
            </w:pPr>
            <w:proofErr w:type="spellStart"/>
            <w:r>
              <w:rPr>
                <w:rFonts w:ascii="TTE29CFF90t00" w:hAnsi="TTE29CFF90t00" w:cs="TTE29CFF90t00"/>
                <w:color w:val="C0504D" w:themeColor="accent2"/>
                <w:lang w:val="it-IT"/>
              </w:rPr>
              <w:t>E.Romoli</w:t>
            </w:r>
            <w:proofErr w:type="spellEnd"/>
          </w:p>
        </w:tc>
      </w:tr>
      <w:tr w:rsidR="00845EDA" w:rsidTr="00845EDA">
        <w:tc>
          <w:tcPr>
            <w:tcW w:w="1384" w:type="dxa"/>
          </w:tcPr>
          <w:p w:rsidR="00845EDA" w:rsidRDefault="007C16FF" w:rsidP="00E6638D">
            <w:pPr>
              <w:jc w:val="center"/>
              <w:rPr>
                <w:rFonts w:ascii="Arial" w:hAnsi="Arial" w:cs="Arial"/>
                <w:color w:val="C0504D" w:themeColor="accent2"/>
                <w:sz w:val="24"/>
                <w:szCs w:val="24"/>
                <w:lang w:val="it-IT"/>
              </w:rPr>
            </w:pPr>
            <w:r>
              <w:rPr>
                <w:rFonts w:ascii="Arial" w:hAnsi="Arial" w:cs="Arial"/>
                <w:color w:val="C0504D" w:themeColor="accent2"/>
                <w:sz w:val="24"/>
                <w:szCs w:val="24"/>
                <w:lang w:val="it-IT"/>
              </w:rPr>
              <w:t>10</w:t>
            </w:r>
          </w:p>
        </w:tc>
        <w:tc>
          <w:tcPr>
            <w:tcW w:w="4654" w:type="dxa"/>
          </w:tcPr>
          <w:p w:rsidR="00845EDA" w:rsidRPr="00845EDA" w:rsidRDefault="00845EDA" w:rsidP="00845EDA">
            <w:pPr>
              <w:rPr>
                <w:rFonts w:ascii="Arial" w:hAnsi="Arial" w:cs="Arial"/>
                <w:color w:val="C0504D" w:themeColor="accent2"/>
                <w:sz w:val="24"/>
                <w:szCs w:val="24"/>
                <w:lang w:val="it-IT"/>
              </w:rPr>
            </w:pPr>
            <w:r w:rsidRPr="00845EDA">
              <w:rPr>
                <w:rFonts w:ascii="TTE29CFF90t00" w:hAnsi="TTE29CFF90t00" w:cs="TTE29CFF90t00"/>
                <w:lang w:val="it-IT"/>
              </w:rPr>
              <w:t>Aspetti medico-legali/assicurativi del rischio infettivo</w:t>
            </w:r>
          </w:p>
        </w:tc>
        <w:tc>
          <w:tcPr>
            <w:tcW w:w="3816" w:type="dxa"/>
          </w:tcPr>
          <w:p w:rsidR="00845EDA" w:rsidRDefault="00FF2BFF" w:rsidP="00845EDA">
            <w:pPr>
              <w:rPr>
                <w:rFonts w:ascii="Arial" w:hAnsi="Arial" w:cs="Arial"/>
                <w:color w:val="C0504D" w:themeColor="accent2"/>
                <w:sz w:val="24"/>
                <w:szCs w:val="24"/>
                <w:lang w:val="it-IT"/>
              </w:rPr>
            </w:pPr>
            <w:proofErr w:type="spellStart"/>
            <w:r>
              <w:rPr>
                <w:rFonts w:ascii="Arial" w:hAnsi="Arial" w:cs="Arial"/>
                <w:color w:val="C0504D" w:themeColor="accent2"/>
                <w:sz w:val="24"/>
                <w:szCs w:val="24"/>
                <w:lang w:val="it-IT"/>
              </w:rPr>
              <w:t>A.Volpi</w:t>
            </w:r>
            <w:proofErr w:type="spellEnd"/>
            <w:r>
              <w:rPr>
                <w:rFonts w:ascii="Arial" w:hAnsi="Arial" w:cs="Arial"/>
                <w:color w:val="C0504D" w:themeColor="accent2"/>
                <w:sz w:val="24"/>
                <w:szCs w:val="24"/>
                <w:lang w:val="it-IT"/>
              </w:rPr>
              <w:t xml:space="preserve">, </w:t>
            </w:r>
            <w:proofErr w:type="spellStart"/>
            <w:r>
              <w:rPr>
                <w:rFonts w:ascii="Arial" w:hAnsi="Arial" w:cs="Arial"/>
                <w:color w:val="C0504D" w:themeColor="accent2"/>
                <w:sz w:val="24"/>
                <w:szCs w:val="24"/>
                <w:lang w:val="it-IT"/>
              </w:rPr>
              <w:t>E.Romoli</w:t>
            </w:r>
            <w:proofErr w:type="spellEnd"/>
          </w:p>
        </w:tc>
      </w:tr>
      <w:tr w:rsidR="00845EDA" w:rsidTr="00845EDA">
        <w:tc>
          <w:tcPr>
            <w:tcW w:w="1384" w:type="dxa"/>
          </w:tcPr>
          <w:p w:rsidR="00845EDA" w:rsidRDefault="007C16FF" w:rsidP="00E6638D">
            <w:pPr>
              <w:jc w:val="center"/>
              <w:rPr>
                <w:rFonts w:ascii="Arial" w:hAnsi="Arial" w:cs="Arial"/>
                <w:color w:val="C0504D" w:themeColor="accent2"/>
                <w:sz w:val="24"/>
                <w:szCs w:val="24"/>
                <w:lang w:val="it-IT"/>
              </w:rPr>
            </w:pPr>
            <w:r>
              <w:rPr>
                <w:rFonts w:ascii="Arial" w:hAnsi="Arial" w:cs="Arial"/>
                <w:color w:val="C0504D" w:themeColor="accent2"/>
                <w:sz w:val="24"/>
                <w:szCs w:val="24"/>
                <w:lang w:val="it-IT"/>
              </w:rPr>
              <w:t>11</w:t>
            </w:r>
          </w:p>
        </w:tc>
        <w:tc>
          <w:tcPr>
            <w:tcW w:w="4654" w:type="dxa"/>
          </w:tcPr>
          <w:p w:rsidR="00845EDA" w:rsidRPr="007C16FF" w:rsidRDefault="007C16FF" w:rsidP="00845EDA">
            <w:pPr>
              <w:rPr>
                <w:rFonts w:ascii="Arial" w:hAnsi="Arial" w:cs="Arial"/>
                <w:color w:val="C0504D" w:themeColor="accent2"/>
                <w:sz w:val="24"/>
                <w:szCs w:val="24"/>
                <w:lang w:val="it-IT"/>
              </w:rPr>
            </w:pPr>
            <w:r w:rsidRPr="007C16FF">
              <w:rPr>
                <w:rFonts w:ascii="TTE29CFF90t00" w:hAnsi="TTE29CFF90t00" w:cs="TTE29CFF90t00"/>
                <w:lang w:val="it-IT"/>
              </w:rPr>
              <w:t>Generalità sulle malattie infettive e uso razionale degli antibiotici</w:t>
            </w:r>
          </w:p>
        </w:tc>
        <w:tc>
          <w:tcPr>
            <w:tcW w:w="3816" w:type="dxa"/>
          </w:tcPr>
          <w:p w:rsidR="00845EDA" w:rsidRDefault="007C16FF" w:rsidP="00845EDA">
            <w:pPr>
              <w:rPr>
                <w:rFonts w:ascii="Arial" w:hAnsi="Arial" w:cs="Arial"/>
                <w:color w:val="C0504D" w:themeColor="accent2"/>
                <w:sz w:val="24"/>
                <w:szCs w:val="24"/>
                <w:lang w:val="it-IT"/>
              </w:rPr>
            </w:pPr>
            <w:r>
              <w:rPr>
                <w:rFonts w:ascii="Arial" w:hAnsi="Arial" w:cs="Arial"/>
                <w:color w:val="C0504D" w:themeColor="accent2"/>
                <w:sz w:val="24"/>
                <w:szCs w:val="24"/>
                <w:lang w:val="it-IT"/>
              </w:rPr>
              <w:t>A Volpi</w:t>
            </w:r>
          </w:p>
        </w:tc>
      </w:tr>
      <w:tr w:rsidR="00845EDA" w:rsidTr="00845EDA">
        <w:tc>
          <w:tcPr>
            <w:tcW w:w="1384" w:type="dxa"/>
          </w:tcPr>
          <w:p w:rsidR="00845EDA" w:rsidRDefault="007C16FF" w:rsidP="00E6638D">
            <w:pPr>
              <w:jc w:val="center"/>
              <w:rPr>
                <w:rFonts w:ascii="Arial" w:hAnsi="Arial" w:cs="Arial"/>
                <w:color w:val="C0504D" w:themeColor="accent2"/>
                <w:sz w:val="24"/>
                <w:szCs w:val="24"/>
                <w:lang w:val="it-IT"/>
              </w:rPr>
            </w:pPr>
            <w:r>
              <w:rPr>
                <w:rFonts w:ascii="Arial" w:hAnsi="Arial" w:cs="Arial"/>
                <w:color w:val="C0504D" w:themeColor="accent2"/>
                <w:sz w:val="24"/>
                <w:szCs w:val="24"/>
                <w:lang w:val="it-IT"/>
              </w:rPr>
              <w:t>12</w:t>
            </w:r>
          </w:p>
        </w:tc>
        <w:tc>
          <w:tcPr>
            <w:tcW w:w="4654" w:type="dxa"/>
          </w:tcPr>
          <w:p w:rsidR="00845EDA" w:rsidRPr="007C16FF" w:rsidRDefault="007C16FF" w:rsidP="00845EDA">
            <w:pPr>
              <w:rPr>
                <w:rFonts w:ascii="Arial" w:hAnsi="Arial" w:cs="Arial"/>
                <w:color w:val="C0504D" w:themeColor="accent2"/>
                <w:sz w:val="24"/>
                <w:szCs w:val="24"/>
                <w:lang w:val="it-IT"/>
              </w:rPr>
            </w:pPr>
            <w:proofErr w:type="spellStart"/>
            <w:r w:rsidRPr="007C16FF">
              <w:rPr>
                <w:rFonts w:ascii="TTE29CFF90t00" w:hAnsi="TTE29CFF90t00" w:cs="TTE29CFF90t00"/>
                <w:lang w:val="it-IT"/>
              </w:rPr>
              <w:t>Evidence</w:t>
            </w:r>
            <w:proofErr w:type="spellEnd"/>
            <w:r w:rsidRPr="007C16FF">
              <w:rPr>
                <w:rFonts w:ascii="TTE29CFF90t00" w:hAnsi="TTE29CFF90t00" w:cs="TTE29CFF90t00"/>
                <w:lang w:val="it-IT"/>
              </w:rPr>
              <w:t xml:space="preserve"> </w:t>
            </w:r>
            <w:proofErr w:type="spellStart"/>
            <w:r w:rsidRPr="007C16FF">
              <w:rPr>
                <w:rFonts w:ascii="TTE29CFF90t00" w:hAnsi="TTE29CFF90t00" w:cs="TTE29CFF90t00"/>
                <w:lang w:val="it-IT"/>
              </w:rPr>
              <w:t>based</w:t>
            </w:r>
            <w:proofErr w:type="spellEnd"/>
            <w:r w:rsidRPr="007C16FF">
              <w:rPr>
                <w:rFonts w:ascii="TTE29CFF90t00" w:hAnsi="TTE29CFF90t00" w:cs="TTE29CFF90t00"/>
                <w:lang w:val="it-IT"/>
              </w:rPr>
              <w:t xml:space="preserve"> </w:t>
            </w:r>
            <w:proofErr w:type="gramStart"/>
            <w:r w:rsidRPr="007C16FF">
              <w:rPr>
                <w:rFonts w:ascii="TTE29CFF90t00" w:hAnsi="TTE29CFF90t00" w:cs="TTE29CFF90t00"/>
                <w:lang w:val="it-IT"/>
              </w:rPr>
              <w:t>Medicine :</w:t>
            </w:r>
            <w:proofErr w:type="gramEnd"/>
            <w:r w:rsidRPr="007C16FF">
              <w:rPr>
                <w:rFonts w:ascii="TTE29CFF90t00" w:hAnsi="TTE29CFF90t00" w:cs="TTE29CFF90t00"/>
                <w:lang w:val="it-IT"/>
              </w:rPr>
              <w:t xml:space="preserve"> Linee guida, protocolli e procedure</w:t>
            </w:r>
          </w:p>
        </w:tc>
        <w:tc>
          <w:tcPr>
            <w:tcW w:w="3816" w:type="dxa"/>
          </w:tcPr>
          <w:p w:rsidR="00845EDA" w:rsidRDefault="00293060" w:rsidP="00845EDA">
            <w:pPr>
              <w:rPr>
                <w:rFonts w:ascii="Arial" w:hAnsi="Arial" w:cs="Arial"/>
                <w:color w:val="C0504D" w:themeColor="accent2"/>
                <w:sz w:val="24"/>
                <w:szCs w:val="24"/>
                <w:lang w:val="it-IT"/>
              </w:rPr>
            </w:pPr>
            <w:proofErr w:type="spellStart"/>
            <w:r>
              <w:rPr>
                <w:rFonts w:ascii="Arial" w:hAnsi="Arial" w:cs="Arial"/>
                <w:color w:val="C0504D" w:themeColor="accent2"/>
                <w:sz w:val="24"/>
                <w:szCs w:val="24"/>
                <w:lang w:val="it-IT"/>
              </w:rPr>
              <w:t>A.Volpi</w:t>
            </w:r>
            <w:proofErr w:type="spellEnd"/>
          </w:p>
        </w:tc>
      </w:tr>
      <w:tr w:rsidR="007C16FF" w:rsidTr="00845EDA">
        <w:tc>
          <w:tcPr>
            <w:tcW w:w="1384" w:type="dxa"/>
          </w:tcPr>
          <w:p w:rsidR="007C16FF" w:rsidRDefault="001851C4" w:rsidP="00E6638D">
            <w:pPr>
              <w:jc w:val="center"/>
              <w:rPr>
                <w:rFonts w:ascii="Arial" w:hAnsi="Arial" w:cs="Arial"/>
                <w:color w:val="C0504D" w:themeColor="accent2"/>
                <w:sz w:val="24"/>
                <w:szCs w:val="24"/>
                <w:lang w:val="it-IT"/>
              </w:rPr>
            </w:pPr>
            <w:r>
              <w:rPr>
                <w:rFonts w:ascii="Arial" w:hAnsi="Arial" w:cs="Arial"/>
                <w:color w:val="C0504D" w:themeColor="accent2"/>
                <w:sz w:val="24"/>
                <w:szCs w:val="24"/>
                <w:lang w:val="it-IT"/>
              </w:rPr>
              <w:t>13</w:t>
            </w:r>
          </w:p>
        </w:tc>
        <w:tc>
          <w:tcPr>
            <w:tcW w:w="4654" w:type="dxa"/>
          </w:tcPr>
          <w:p w:rsidR="007C16FF" w:rsidRDefault="007C16FF" w:rsidP="00845EDA">
            <w:pPr>
              <w:rPr>
                <w:rFonts w:ascii="TTE29CFF90t00" w:hAnsi="TTE29CFF90t00" w:cs="TTE29CFF90t00"/>
              </w:rPr>
            </w:pPr>
            <w:proofErr w:type="spellStart"/>
            <w:r>
              <w:rPr>
                <w:rFonts w:ascii="TTE29CFF90t00" w:hAnsi="TTE29CFF90t00" w:cs="TTE29CFF90t00"/>
              </w:rPr>
              <w:t>Pausa</w:t>
            </w:r>
            <w:proofErr w:type="spellEnd"/>
            <w:r>
              <w:rPr>
                <w:rFonts w:ascii="TTE29CFF90t00" w:hAnsi="TTE29CFF90t00" w:cs="TTE29CFF90t00"/>
              </w:rPr>
              <w:t xml:space="preserve"> </w:t>
            </w:r>
            <w:proofErr w:type="spellStart"/>
            <w:r>
              <w:rPr>
                <w:rFonts w:ascii="TTE29CFF90t00" w:hAnsi="TTE29CFF90t00" w:cs="TTE29CFF90t00"/>
              </w:rPr>
              <w:t>pranzo</w:t>
            </w:r>
            <w:proofErr w:type="spellEnd"/>
          </w:p>
        </w:tc>
        <w:tc>
          <w:tcPr>
            <w:tcW w:w="3816" w:type="dxa"/>
          </w:tcPr>
          <w:p w:rsidR="007C16FF" w:rsidRDefault="007C16FF" w:rsidP="00845EDA">
            <w:pPr>
              <w:rPr>
                <w:rFonts w:ascii="Arial" w:hAnsi="Arial" w:cs="Arial"/>
                <w:color w:val="C0504D" w:themeColor="accent2"/>
                <w:sz w:val="24"/>
                <w:szCs w:val="24"/>
                <w:lang w:val="it-IT"/>
              </w:rPr>
            </w:pPr>
          </w:p>
        </w:tc>
      </w:tr>
      <w:tr w:rsidR="00845EDA" w:rsidTr="00845EDA">
        <w:tc>
          <w:tcPr>
            <w:tcW w:w="1384" w:type="dxa"/>
          </w:tcPr>
          <w:p w:rsidR="00845EDA" w:rsidRDefault="007C16FF" w:rsidP="00E6638D">
            <w:pPr>
              <w:jc w:val="center"/>
              <w:rPr>
                <w:rFonts w:ascii="Arial" w:hAnsi="Arial" w:cs="Arial"/>
                <w:color w:val="C0504D" w:themeColor="accent2"/>
                <w:sz w:val="24"/>
                <w:szCs w:val="24"/>
                <w:lang w:val="it-IT"/>
              </w:rPr>
            </w:pPr>
            <w:r>
              <w:rPr>
                <w:rFonts w:ascii="Arial" w:hAnsi="Arial" w:cs="Arial"/>
                <w:color w:val="C0504D" w:themeColor="accent2"/>
                <w:sz w:val="24"/>
                <w:szCs w:val="24"/>
                <w:lang w:val="it-IT"/>
              </w:rPr>
              <w:t>14</w:t>
            </w:r>
          </w:p>
        </w:tc>
        <w:tc>
          <w:tcPr>
            <w:tcW w:w="4654" w:type="dxa"/>
          </w:tcPr>
          <w:p w:rsidR="00845EDA" w:rsidRDefault="007C16FF" w:rsidP="00845EDA">
            <w:pPr>
              <w:rPr>
                <w:rFonts w:ascii="Arial" w:hAnsi="Arial" w:cs="Arial"/>
                <w:color w:val="C0504D" w:themeColor="accent2"/>
                <w:sz w:val="24"/>
                <w:szCs w:val="24"/>
                <w:lang w:val="it-IT"/>
              </w:rPr>
            </w:pPr>
            <w:proofErr w:type="spellStart"/>
            <w:r>
              <w:rPr>
                <w:rFonts w:ascii="TTE29CFF90t00" w:hAnsi="TTE29CFF90t00" w:cs="TTE29CFF90t00"/>
              </w:rPr>
              <w:t>Igiene</w:t>
            </w:r>
            <w:proofErr w:type="spellEnd"/>
            <w:r>
              <w:rPr>
                <w:rFonts w:ascii="TTE29CFF90t00" w:hAnsi="TTE29CFF90t00" w:cs="TTE29CFF90t00"/>
              </w:rPr>
              <w:t xml:space="preserve"> </w:t>
            </w:r>
            <w:proofErr w:type="spellStart"/>
            <w:r>
              <w:rPr>
                <w:rFonts w:ascii="TTE29CFF90t00" w:hAnsi="TTE29CFF90t00" w:cs="TTE29CFF90t00"/>
              </w:rPr>
              <w:t>delle</w:t>
            </w:r>
            <w:proofErr w:type="spellEnd"/>
            <w:r>
              <w:rPr>
                <w:rFonts w:ascii="TTE29CFF90t00" w:hAnsi="TTE29CFF90t00" w:cs="TTE29CFF90t00"/>
              </w:rPr>
              <w:t xml:space="preserve"> </w:t>
            </w:r>
            <w:proofErr w:type="spellStart"/>
            <w:r>
              <w:rPr>
                <w:rFonts w:ascii="TTE29CFF90t00" w:hAnsi="TTE29CFF90t00" w:cs="TTE29CFF90t00"/>
              </w:rPr>
              <w:t>mani</w:t>
            </w:r>
            <w:proofErr w:type="spellEnd"/>
          </w:p>
        </w:tc>
        <w:tc>
          <w:tcPr>
            <w:tcW w:w="3816" w:type="dxa"/>
          </w:tcPr>
          <w:p w:rsidR="00845EDA" w:rsidRDefault="00293060" w:rsidP="00845EDA">
            <w:pPr>
              <w:rPr>
                <w:rFonts w:ascii="Arial" w:hAnsi="Arial" w:cs="Arial"/>
                <w:color w:val="C0504D" w:themeColor="accent2"/>
                <w:sz w:val="24"/>
                <w:szCs w:val="24"/>
                <w:lang w:val="it-IT"/>
              </w:rPr>
            </w:pPr>
            <w:proofErr w:type="spellStart"/>
            <w:r>
              <w:rPr>
                <w:rFonts w:ascii="Arial" w:hAnsi="Arial" w:cs="Arial"/>
                <w:color w:val="C0504D" w:themeColor="accent2"/>
                <w:sz w:val="24"/>
                <w:szCs w:val="24"/>
                <w:lang w:val="it-IT"/>
              </w:rPr>
              <w:t>E.Romoli</w:t>
            </w:r>
            <w:proofErr w:type="spellEnd"/>
          </w:p>
        </w:tc>
      </w:tr>
      <w:tr w:rsidR="00845EDA" w:rsidTr="00845EDA">
        <w:tc>
          <w:tcPr>
            <w:tcW w:w="1384" w:type="dxa"/>
          </w:tcPr>
          <w:p w:rsidR="00845EDA" w:rsidRDefault="007C16FF" w:rsidP="00E6638D">
            <w:pPr>
              <w:jc w:val="center"/>
              <w:rPr>
                <w:rFonts w:ascii="Arial" w:hAnsi="Arial" w:cs="Arial"/>
                <w:color w:val="C0504D" w:themeColor="accent2"/>
                <w:sz w:val="24"/>
                <w:szCs w:val="24"/>
                <w:lang w:val="it-IT"/>
              </w:rPr>
            </w:pPr>
            <w:r>
              <w:rPr>
                <w:rFonts w:ascii="Arial" w:hAnsi="Arial" w:cs="Arial"/>
                <w:color w:val="C0504D" w:themeColor="accent2"/>
                <w:sz w:val="24"/>
                <w:szCs w:val="24"/>
                <w:lang w:val="it-IT"/>
              </w:rPr>
              <w:t>14:30</w:t>
            </w:r>
          </w:p>
        </w:tc>
        <w:tc>
          <w:tcPr>
            <w:tcW w:w="4654" w:type="dxa"/>
          </w:tcPr>
          <w:p w:rsidR="00845EDA" w:rsidRDefault="007C16FF" w:rsidP="00845EDA">
            <w:pPr>
              <w:rPr>
                <w:rFonts w:ascii="Arial" w:hAnsi="Arial" w:cs="Arial"/>
                <w:color w:val="C0504D" w:themeColor="accent2"/>
                <w:sz w:val="24"/>
                <w:szCs w:val="24"/>
                <w:lang w:val="it-IT"/>
              </w:rPr>
            </w:pPr>
            <w:proofErr w:type="spellStart"/>
            <w:r>
              <w:rPr>
                <w:rFonts w:ascii="TTE29CFF90t00" w:hAnsi="TTE29CFF90t00" w:cs="TTE29CFF90t00"/>
              </w:rPr>
              <w:t>Precauzioni</w:t>
            </w:r>
            <w:proofErr w:type="spellEnd"/>
            <w:r>
              <w:rPr>
                <w:rFonts w:ascii="TTE29CFF90t00" w:hAnsi="TTE29CFF90t00" w:cs="TTE29CFF90t00"/>
              </w:rPr>
              <w:t xml:space="preserve"> di </w:t>
            </w:r>
            <w:proofErr w:type="spellStart"/>
            <w:r>
              <w:rPr>
                <w:rFonts w:ascii="TTE29CFF90t00" w:hAnsi="TTE29CFF90t00" w:cs="TTE29CFF90t00"/>
              </w:rPr>
              <w:t>isolamento</w:t>
            </w:r>
            <w:proofErr w:type="spellEnd"/>
          </w:p>
        </w:tc>
        <w:tc>
          <w:tcPr>
            <w:tcW w:w="3816" w:type="dxa"/>
          </w:tcPr>
          <w:p w:rsidR="00845EDA" w:rsidRDefault="00100090" w:rsidP="00FF2BFF">
            <w:pPr>
              <w:rPr>
                <w:rFonts w:ascii="Arial" w:hAnsi="Arial" w:cs="Arial"/>
                <w:color w:val="C0504D" w:themeColor="accent2"/>
                <w:sz w:val="24"/>
                <w:szCs w:val="24"/>
                <w:lang w:val="it-IT"/>
              </w:rPr>
            </w:pPr>
            <w:proofErr w:type="spellStart"/>
            <w:r>
              <w:rPr>
                <w:rFonts w:ascii="Arial" w:hAnsi="Arial" w:cs="Arial"/>
                <w:color w:val="C0504D" w:themeColor="accent2"/>
                <w:sz w:val="24"/>
                <w:szCs w:val="24"/>
                <w:lang w:val="it-IT"/>
              </w:rPr>
              <w:t>A.Volpi</w:t>
            </w:r>
            <w:proofErr w:type="spellEnd"/>
            <w:r>
              <w:rPr>
                <w:rFonts w:ascii="Arial" w:hAnsi="Arial" w:cs="Arial"/>
                <w:color w:val="C0504D" w:themeColor="accent2"/>
                <w:sz w:val="24"/>
                <w:szCs w:val="24"/>
                <w:lang w:val="it-IT"/>
              </w:rPr>
              <w:t xml:space="preserve"> </w:t>
            </w:r>
          </w:p>
        </w:tc>
      </w:tr>
      <w:tr w:rsidR="00845EDA" w:rsidTr="00845EDA">
        <w:tc>
          <w:tcPr>
            <w:tcW w:w="1384" w:type="dxa"/>
          </w:tcPr>
          <w:p w:rsidR="00845EDA" w:rsidRDefault="007C16FF" w:rsidP="00E6638D">
            <w:pPr>
              <w:jc w:val="center"/>
              <w:rPr>
                <w:rFonts w:ascii="Arial" w:hAnsi="Arial" w:cs="Arial"/>
                <w:color w:val="C0504D" w:themeColor="accent2"/>
                <w:sz w:val="24"/>
                <w:szCs w:val="24"/>
                <w:lang w:val="it-IT"/>
              </w:rPr>
            </w:pPr>
            <w:r>
              <w:rPr>
                <w:rFonts w:ascii="Arial" w:hAnsi="Arial" w:cs="Arial"/>
                <w:color w:val="C0504D" w:themeColor="accent2"/>
                <w:sz w:val="24"/>
                <w:szCs w:val="24"/>
                <w:lang w:val="it-IT"/>
              </w:rPr>
              <w:t>15:30</w:t>
            </w:r>
          </w:p>
        </w:tc>
        <w:tc>
          <w:tcPr>
            <w:tcW w:w="4654" w:type="dxa"/>
          </w:tcPr>
          <w:p w:rsidR="00845EDA" w:rsidRPr="007C16FF" w:rsidRDefault="007C16FF" w:rsidP="00845EDA">
            <w:pPr>
              <w:rPr>
                <w:rFonts w:ascii="Arial" w:hAnsi="Arial" w:cs="Arial"/>
                <w:color w:val="C0504D" w:themeColor="accent2"/>
                <w:sz w:val="24"/>
                <w:szCs w:val="24"/>
                <w:lang w:val="it-IT"/>
              </w:rPr>
            </w:pPr>
            <w:r w:rsidRPr="007C16FF">
              <w:rPr>
                <w:rFonts w:ascii="TTE29CFF90t00" w:hAnsi="TTE29CFF90t00" w:cs="TTE29CFF90t00"/>
                <w:lang w:val="it-IT"/>
              </w:rPr>
              <w:t>Igiene degli ambienti e delle attrezzature</w:t>
            </w:r>
          </w:p>
        </w:tc>
        <w:tc>
          <w:tcPr>
            <w:tcW w:w="3816" w:type="dxa"/>
          </w:tcPr>
          <w:p w:rsidR="00845EDA" w:rsidRDefault="00100090" w:rsidP="00FF2BFF">
            <w:pPr>
              <w:rPr>
                <w:rFonts w:ascii="Arial" w:hAnsi="Arial" w:cs="Arial"/>
                <w:color w:val="C0504D" w:themeColor="accent2"/>
                <w:sz w:val="24"/>
                <w:szCs w:val="24"/>
                <w:lang w:val="it-IT"/>
              </w:rPr>
            </w:pPr>
            <w:proofErr w:type="spellStart"/>
            <w:proofErr w:type="gramStart"/>
            <w:r>
              <w:rPr>
                <w:rFonts w:ascii="Arial" w:hAnsi="Arial" w:cs="Arial"/>
                <w:color w:val="C0504D" w:themeColor="accent2"/>
                <w:sz w:val="24"/>
                <w:szCs w:val="24"/>
                <w:lang w:val="it-IT"/>
              </w:rPr>
              <w:t>E,Romoli</w:t>
            </w:r>
            <w:proofErr w:type="spellEnd"/>
            <w:proofErr w:type="gramEnd"/>
            <w:r>
              <w:rPr>
                <w:rFonts w:ascii="Arial" w:hAnsi="Arial" w:cs="Arial"/>
                <w:color w:val="C0504D" w:themeColor="accent2"/>
                <w:sz w:val="24"/>
                <w:szCs w:val="24"/>
                <w:lang w:val="it-IT"/>
              </w:rPr>
              <w:t xml:space="preserve"> </w:t>
            </w:r>
          </w:p>
        </w:tc>
      </w:tr>
      <w:tr w:rsidR="00845EDA" w:rsidTr="00845EDA">
        <w:tc>
          <w:tcPr>
            <w:tcW w:w="1384" w:type="dxa"/>
          </w:tcPr>
          <w:p w:rsidR="00845EDA" w:rsidRDefault="007C16FF" w:rsidP="00E6638D">
            <w:pPr>
              <w:jc w:val="center"/>
              <w:rPr>
                <w:rFonts w:ascii="Arial" w:hAnsi="Arial" w:cs="Arial"/>
                <w:color w:val="C0504D" w:themeColor="accent2"/>
                <w:sz w:val="24"/>
                <w:szCs w:val="24"/>
                <w:lang w:val="it-IT"/>
              </w:rPr>
            </w:pPr>
            <w:r>
              <w:rPr>
                <w:rFonts w:ascii="Arial" w:hAnsi="Arial" w:cs="Arial"/>
                <w:color w:val="C0504D" w:themeColor="accent2"/>
                <w:sz w:val="24"/>
                <w:szCs w:val="24"/>
                <w:lang w:val="it-IT"/>
              </w:rPr>
              <w:t>1</w:t>
            </w:r>
            <w:r w:rsidR="00E6638D">
              <w:rPr>
                <w:rFonts w:ascii="Arial" w:hAnsi="Arial" w:cs="Arial"/>
                <w:color w:val="C0504D" w:themeColor="accent2"/>
                <w:sz w:val="24"/>
                <w:szCs w:val="24"/>
                <w:lang w:val="it-IT"/>
              </w:rPr>
              <w:t>6:30</w:t>
            </w:r>
          </w:p>
        </w:tc>
        <w:tc>
          <w:tcPr>
            <w:tcW w:w="4654" w:type="dxa"/>
          </w:tcPr>
          <w:p w:rsidR="00845EDA" w:rsidRPr="007C16FF" w:rsidRDefault="007C16FF" w:rsidP="00845EDA">
            <w:pPr>
              <w:rPr>
                <w:rFonts w:ascii="Arial" w:hAnsi="Arial" w:cs="Arial"/>
                <w:color w:val="C0504D" w:themeColor="accent2"/>
                <w:sz w:val="24"/>
                <w:szCs w:val="24"/>
                <w:lang w:val="it-IT"/>
              </w:rPr>
            </w:pPr>
            <w:r w:rsidRPr="007C16FF">
              <w:rPr>
                <w:rFonts w:ascii="TTE29CFF90t00" w:hAnsi="TTE29CFF90t00" w:cs="TTE29CFF90t00"/>
                <w:lang w:val="it-IT"/>
              </w:rPr>
              <w:t>Prevenzione delle infezioni CVC</w:t>
            </w:r>
            <w:r>
              <w:rPr>
                <w:rFonts w:ascii="TTE29CFF90t00" w:hAnsi="TTE29CFF90t00" w:cs="TTE29CFF90t00"/>
                <w:lang w:val="it-IT"/>
              </w:rPr>
              <w:t xml:space="preserve"> e CV</w:t>
            </w:r>
            <w:r w:rsidRPr="007C16FF">
              <w:rPr>
                <w:rFonts w:ascii="TTE29CFF90t00" w:hAnsi="TTE29CFF90t00" w:cs="TTE29CFF90t00"/>
                <w:lang w:val="it-IT"/>
              </w:rPr>
              <w:t xml:space="preserve"> correlate</w:t>
            </w:r>
          </w:p>
        </w:tc>
        <w:tc>
          <w:tcPr>
            <w:tcW w:w="3816" w:type="dxa"/>
          </w:tcPr>
          <w:p w:rsidR="00845EDA" w:rsidRDefault="00293060" w:rsidP="00FF2BFF">
            <w:pPr>
              <w:rPr>
                <w:rFonts w:ascii="Arial" w:hAnsi="Arial" w:cs="Arial"/>
                <w:color w:val="C0504D" w:themeColor="accent2"/>
                <w:sz w:val="24"/>
                <w:szCs w:val="24"/>
                <w:lang w:val="it-IT"/>
              </w:rPr>
            </w:pPr>
            <w:proofErr w:type="spellStart"/>
            <w:r>
              <w:rPr>
                <w:rFonts w:ascii="Arial" w:hAnsi="Arial" w:cs="Arial"/>
                <w:color w:val="C0504D" w:themeColor="accent2"/>
                <w:sz w:val="24"/>
                <w:szCs w:val="24"/>
                <w:lang w:val="it-IT"/>
              </w:rPr>
              <w:t>S.Lescai</w:t>
            </w:r>
            <w:proofErr w:type="spellEnd"/>
            <w:r>
              <w:rPr>
                <w:rFonts w:ascii="Arial" w:hAnsi="Arial" w:cs="Arial"/>
                <w:color w:val="C0504D" w:themeColor="accent2"/>
                <w:sz w:val="24"/>
                <w:szCs w:val="24"/>
                <w:lang w:val="it-IT"/>
              </w:rPr>
              <w:t xml:space="preserve">, </w:t>
            </w:r>
            <w:proofErr w:type="spellStart"/>
            <w:r w:rsidR="00AC668F">
              <w:rPr>
                <w:rFonts w:ascii="Arial" w:hAnsi="Arial" w:cs="Arial"/>
                <w:color w:val="C0504D" w:themeColor="accent2"/>
                <w:sz w:val="24"/>
                <w:szCs w:val="24"/>
                <w:lang w:val="it-IT"/>
              </w:rPr>
              <w:t>C.Giosi</w:t>
            </w:r>
            <w:proofErr w:type="spellEnd"/>
          </w:p>
        </w:tc>
      </w:tr>
      <w:tr w:rsidR="00845EDA" w:rsidTr="00845EDA">
        <w:tc>
          <w:tcPr>
            <w:tcW w:w="1384" w:type="dxa"/>
          </w:tcPr>
          <w:p w:rsidR="00845EDA" w:rsidRDefault="00E6638D" w:rsidP="00E6638D">
            <w:pPr>
              <w:jc w:val="center"/>
              <w:rPr>
                <w:rFonts w:ascii="Arial" w:hAnsi="Arial" w:cs="Arial"/>
                <w:color w:val="C0504D" w:themeColor="accent2"/>
                <w:sz w:val="24"/>
                <w:szCs w:val="24"/>
                <w:lang w:val="it-IT"/>
              </w:rPr>
            </w:pPr>
            <w:r>
              <w:rPr>
                <w:rFonts w:ascii="Arial" w:hAnsi="Arial" w:cs="Arial"/>
                <w:color w:val="C0504D" w:themeColor="accent2"/>
                <w:sz w:val="24"/>
                <w:szCs w:val="24"/>
                <w:lang w:val="it-IT"/>
              </w:rPr>
              <w:t>17:30</w:t>
            </w:r>
          </w:p>
        </w:tc>
        <w:tc>
          <w:tcPr>
            <w:tcW w:w="4654" w:type="dxa"/>
          </w:tcPr>
          <w:p w:rsidR="00845EDA" w:rsidRDefault="007C16FF" w:rsidP="00845EDA">
            <w:pPr>
              <w:rPr>
                <w:rFonts w:ascii="Arial" w:hAnsi="Arial" w:cs="Arial"/>
                <w:color w:val="C0504D" w:themeColor="accent2"/>
                <w:sz w:val="24"/>
                <w:szCs w:val="24"/>
                <w:lang w:val="it-IT"/>
              </w:rPr>
            </w:pPr>
            <w:proofErr w:type="spellStart"/>
            <w:r>
              <w:rPr>
                <w:rFonts w:ascii="TTE29CFF90t00" w:hAnsi="TTE29CFF90t00" w:cs="TTE29CFF90t00"/>
              </w:rPr>
              <w:t>Prevenzione</w:t>
            </w:r>
            <w:proofErr w:type="spellEnd"/>
            <w:r>
              <w:rPr>
                <w:rFonts w:ascii="TTE29CFF90t00" w:hAnsi="TTE29CFF90t00" w:cs="TTE29CFF90t00"/>
              </w:rPr>
              <w:t xml:space="preserve"> </w:t>
            </w:r>
            <w:proofErr w:type="spellStart"/>
            <w:r>
              <w:rPr>
                <w:rFonts w:ascii="TTE29CFF90t00" w:hAnsi="TTE29CFF90t00" w:cs="TTE29CFF90t00"/>
              </w:rPr>
              <w:t>delle</w:t>
            </w:r>
            <w:proofErr w:type="spellEnd"/>
            <w:r>
              <w:rPr>
                <w:rFonts w:ascii="TTE29CFF90t00" w:hAnsi="TTE29CFF90t00" w:cs="TTE29CFF90t00"/>
              </w:rPr>
              <w:t xml:space="preserve"> VAP</w:t>
            </w:r>
          </w:p>
        </w:tc>
        <w:tc>
          <w:tcPr>
            <w:tcW w:w="3816" w:type="dxa"/>
          </w:tcPr>
          <w:p w:rsidR="00845EDA" w:rsidRDefault="00293060" w:rsidP="00845EDA">
            <w:pPr>
              <w:rPr>
                <w:rFonts w:ascii="Arial" w:hAnsi="Arial" w:cs="Arial"/>
                <w:color w:val="C0504D" w:themeColor="accent2"/>
                <w:sz w:val="24"/>
                <w:szCs w:val="24"/>
                <w:lang w:val="it-IT"/>
              </w:rPr>
            </w:pPr>
            <w:proofErr w:type="spellStart"/>
            <w:r>
              <w:rPr>
                <w:rFonts w:ascii="Arial" w:hAnsi="Arial" w:cs="Arial"/>
                <w:color w:val="C0504D" w:themeColor="accent2"/>
                <w:sz w:val="24"/>
                <w:szCs w:val="24"/>
                <w:lang w:val="it-IT"/>
              </w:rPr>
              <w:t>S.Lescai</w:t>
            </w:r>
            <w:proofErr w:type="spellEnd"/>
            <w:r>
              <w:rPr>
                <w:rFonts w:ascii="Arial" w:hAnsi="Arial" w:cs="Arial"/>
                <w:color w:val="C0504D" w:themeColor="accent2"/>
                <w:sz w:val="24"/>
                <w:szCs w:val="24"/>
                <w:lang w:val="it-IT"/>
              </w:rPr>
              <w:t xml:space="preserve"> </w:t>
            </w:r>
            <w:proofErr w:type="spellStart"/>
            <w:r>
              <w:rPr>
                <w:rFonts w:ascii="Arial" w:hAnsi="Arial" w:cs="Arial"/>
                <w:color w:val="C0504D" w:themeColor="accent2"/>
                <w:sz w:val="24"/>
                <w:szCs w:val="24"/>
                <w:lang w:val="it-IT"/>
              </w:rPr>
              <w:t>F.Di</w:t>
            </w:r>
            <w:proofErr w:type="spellEnd"/>
            <w:r>
              <w:rPr>
                <w:rFonts w:ascii="Arial" w:hAnsi="Arial" w:cs="Arial"/>
                <w:color w:val="C0504D" w:themeColor="accent2"/>
                <w:sz w:val="24"/>
                <w:szCs w:val="24"/>
                <w:lang w:val="it-IT"/>
              </w:rPr>
              <w:t xml:space="preserve"> Eugenio</w:t>
            </w:r>
          </w:p>
        </w:tc>
      </w:tr>
      <w:tr w:rsidR="00845EDA" w:rsidTr="00845EDA">
        <w:tc>
          <w:tcPr>
            <w:tcW w:w="1384" w:type="dxa"/>
          </w:tcPr>
          <w:p w:rsidR="00845EDA" w:rsidRDefault="00E6638D" w:rsidP="00E6638D">
            <w:pPr>
              <w:jc w:val="center"/>
              <w:rPr>
                <w:rFonts w:ascii="Arial" w:hAnsi="Arial" w:cs="Arial"/>
                <w:color w:val="C0504D" w:themeColor="accent2"/>
                <w:sz w:val="24"/>
                <w:szCs w:val="24"/>
                <w:lang w:val="it-IT"/>
              </w:rPr>
            </w:pPr>
            <w:r>
              <w:rPr>
                <w:rFonts w:ascii="Arial" w:hAnsi="Arial" w:cs="Arial"/>
                <w:color w:val="C0504D" w:themeColor="accent2"/>
                <w:sz w:val="24"/>
                <w:szCs w:val="24"/>
                <w:lang w:val="it-IT"/>
              </w:rPr>
              <w:t>18</w:t>
            </w:r>
          </w:p>
        </w:tc>
        <w:tc>
          <w:tcPr>
            <w:tcW w:w="4654" w:type="dxa"/>
          </w:tcPr>
          <w:p w:rsidR="00845EDA" w:rsidRPr="007C16FF" w:rsidRDefault="007C16FF" w:rsidP="00845EDA">
            <w:pPr>
              <w:rPr>
                <w:rFonts w:ascii="Arial" w:hAnsi="Arial" w:cs="Arial"/>
                <w:color w:val="C0504D" w:themeColor="accent2"/>
                <w:sz w:val="24"/>
                <w:szCs w:val="24"/>
                <w:lang w:val="it-IT"/>
              </w:rPr>
            </w:pPr>
            <w:r w:rsidRPr="007C16FF">
              <w:rPr>
                <w:rFonts w:ascii="TTE2722460t00" w:hAnsi="TTE2722460t00" w:cs="TTE2722460t00"/>
                <w:lang w:val="it-IT"/>
              </w:rPr>
              <w:t>Test di apprendimento e chiusura lavori</w:t>
            </w:r>
          </w:p>
        </w:tc>
        <w:tc>
          <w:tcPr>
            <w:tcW w:w="3816" w:type="dxa"/>
          </w:tcPr>
          <w:p w:rsidR="00845EDA" w:rsidRDefault="00845EDA" w:rsidP="00845EDA">
            <w:pPr>
              <w:rPr>
                <w:rFonts w:ascii="Arial" w:hAnsi="Arial" w:cs="Arial"/>
                <w:color w:val="C0504D" w:themeColor="accent2"/>
                <w:sz w:val="24"/>
                <w:szCs w:val="24"/>
                <w:lang w:val="it-IT"/>
              </w:rPr>
            </w:pPr>
          </w:p>
        </w:tc>
      </w:tr>
    </w:tbl>
    <w:p w:rsidR="00845EDA" w:rsidRDefault="00845EDA" w:rsidP="00845EDA">
      <w:pPr>
        <w:rPr>
          <w:rFonts w:ascii="Arial" w:hAnsi="Arial" w:cs="Arial"/>
          <w:color w:val="C0504D" w:themeColor="accent2"/>
          <w:sz w:val="24"/>
          <w:szCs w:val="24"/>
          <w:lang w:val="it-IT"/>
        </w:rPr>
      </w:pPr>
    </w:p>
    <w:p w:rsidR="00E6638D" w:rsidRDefault="00E6638D" w:rsidP="00845EDA">
      <w:pPr>
        <w:rPr>
          <w:rFonts w:ascii="Arial" w:hAnsi="Arial" w:cs="Arial"/>
          <w:sz w:val="24"/>
          <w:szCs w:val="24"/>
          <w:lang w:val="it-IT"/>
        </w:rPr>
      </w:pPr>
      <w:r w:rsidRPr="00E6638D">
        <w:rPr>
          <w:rFonts w:ascii="Arial" w:hAnsi="Arial" w:cs="Arial"/>
          <w:sz w:val="24"/>
          <w:szCs w:val="24"/>
          <w:lang w:val="it-IT"/>
        </w:rPr>
        <w:t>Razio</w:t>
      </w:r>
      <w:r>
        <w:rPr>
          <w:rFonts w:ascii="Arial" w:hAnsi="Arial" w:cs="Arial"/>
          <w:sz w:val="24"/>
          <w:szCs w:val="24"/>
          <w:lang w:val="it-IT"/>
        </w:rPr>
        <w:t>nale</w:t>
      </w:r>
    </w:p>
    <w:p w:rsidR="00E6638D" w:rsidRDefault="00E6638D" w:rsidP="00E6638D">
      <w:pPr>
        <w:pStyle w:val="NormaleWeb"/>
        <w:rPr>
          <w:lang w:val="it-IT"/>
        </w:rPr>
      </w:pPr>
      <w:r w:rsidRPr="00E6638D">
        <w:rPr>
          <w:lang w:val="it-IT"/>
        </w:rPr>
        <w:t>Le infezioni ospedaliere sono la complicanza più frequente e grave dell’assistenza sanitaria. Si definiscono così infatti le infezioni insorte durante il ricovero in ospedale, o dopo le dimissioni del paziente, che al momento dell’ingresso non erano manifeste clinicamente, né erano in incubazione. Sono l’effetto della progressiva introduzione di nuove tecnologie sanitarie, che se da una parte garantiscono la sopravvivenza a pazienti ad alto rischio di infezioni, dall’altra consentono l’ingresso dei microrganismi anche in sedi corporee normalmente sterili. Un altro elemento cruciale da considerare è l’emergenza di ceppi batterici resistenti agli antibiotici, visto il largo uso di questi farmaci a scopo profilattico o terapeutico.</w:t>
      </w:r>
    </w:p>
    <w:p w:rsidR="00E6638D" w:rsidRDefault="00E6638D" w:rsidP="00E6638D">
      <w:pPr>
        <w:pStyle w:val="NormaleWeb"/>
        <w:rPr>
          <w:lang w:val="it-IT"/>
        </w:rPr>
      </w:pPr>
      <w:r w:rsidRPr="00E6638D">
        <w:rPr>
          <w:lang w:val="it-IT"/>
        </w:rPr>
        <w:t>Negli ultimi anni l’assistenza sanitaria ha subito profondi cambiamenti. Mentre prima gli ospedali erano il luogo in cui si svolgeva la maggior parte degli interventi assistenziali, a partire dagli anni Novanta sono aumentati sia i pazienti ricoverati in ospedale in gravi condizioni (quindi a elevato rischio di infezioni ospedaliere), sia i luoghi di cura extra-ospedalieri (residenze sanitarie assistite per anziani, assistenza domiciliare, assistenza ambulatoriale). Da qui la necessità di ampliare il concetto di infezioni ospedaliere a quello di infezioni correlate all’assistenza sanitaria e sociosanitaria (</w:t>
      </w:r>
      <w:proofErr w:type="spellStart"/>
      <w:r w:rsidRPr="00E6638D">
        <w:rPr>
          <w:lang w:val="it-IT"/>
        </w:rPr>
        <w:t>Ica</w:t>
      </w:r>
      <w:proofErr w:type="spellEnd"/>
      <w:r w:rsidRPr="00E6638D">
        <w:rPr>
          <w:lang w:val="it-IT"/>
        </w:rPr>
        <w:t xml:space="preserve">). </w:t>
      </w:r>
    </w:p>
    <w:p w:rsidR="00E6638D" w:rsidRPr="00E6638D" w:rsidRDefault="00E6638D" w:rsidP="00E6638D">
      <w:pPr>
        <w:pStyle w:val="NormaleWeb"/>
        <w:rPr>
          <w:lang w:val="it-IT"/>
        </w:rPr>
      </w:pPr>
      <w:r w:rsidRPr="00E6638D">
        <w:rPr>
          <w:lang w:val="it-IT"/>
        </w:rPr>
        <w:lastRenderedPageBreak/>
        <w:t>Non tutte le infezioni correlate all’assistenza sono prevenibili: è, quindi, opportuno sorvegliare selettivamente quelle che sono attribuibili a problemi nella qualità dell’assistenza. In genere, si possono prevenire le infezioni associate a determinate procedure, attraverso una riduzione delle procedure non necessarie, la scelta di presidi più sicuri, l’adozione di misure di assistenza al paziente che garantiscano condizioni asettiche. </w:t>
      </w:r>
    </w:p>
    <w:p w:rsidR="00E6638D" w:rsidRDefault="00E6638D" w:rsidP="00E6638D">
      <w:pPr>
        <w:pStyle w:val="NormaleWeb"/>
        <w:rPr>
          <w:lang w:val="it-IT"/>
        </w:rPr>
      </w:pPr>
      <w:r w:rsidRPr="00E6638D">
        <w:rPr>
          <w:lang w:val="it-IT"/>
        </w:rPr>
        <w:t xml:space="preserve">Le </w:t>
      </w:r>
      <w:proofErr w:type="spellStart"/>
      <w:r w:rsidRPr="00E6638D">
        <w:rPr>
          <w:lang w:val="it-IT"/>
        </w:rPr>
        <w:t>Ica</w:t>
      </w:r>
      <w:proofErr w:type="spellEnd"/>
      <w:r w:rsidRPr="00E6638D">
        <w:rPr>
          <w:lang w:val="it-IT"/>
        </w:rPr>
        <w:t xml:space="preserve"> hanno un costo sia in termini di salute che economici, sia per il paziente che per la struttura. Da qui la necessità di adottare pratiche assistenziali sicure, in grado di prevenire o controllare la trasmissione di infezioni sia in ospedale che in tutte le strutture sanitarie non ospedaliere. Occorre cioè pianificare e attuare programmi di controllo a diversi livelli, per garantire la messa in opera di quelle misure che si sono dimostrate efficaci nel ridurre al minimo il rischio di complicanze infettive.</w:t>
      </w:r>
    </w:p>
    <w:p w:rsidR="00DD75A4" w:rsidRDefault="00DD75A4" w:rsidP="00E6638D">
      <w:pPr>
        <w:pStyle w:val="NormaleWeb"/>
        <w:rPr>
          <w:lang w:val="it-IT"/>
        </w:rPr>
      </w:pPr>
      <w:r>
        <w:rPr>
          <w:lang w:val="it-IT"/>
        </w:rPr>
        <w:t>Il presente programma si propone di rinno</w:t>
      </w:r>
      <w:r w:rsidR="009B3949">
        <w:rPr>
          <w:lang w:val="it-IT"/>
        </w:rPr>
        <w:t>vare la formazione di medici</w:t>
      </w:r>
      <w:r>
        <w:rPr>
          <w:lang w:val="it-IT"/>
        </w:rPr>
        <w:t xml:space="preserve">, infermieri, </w:t>
      </w:r>
      <w:r w:rsidR="009B3949">
        <w:rPr>
          <w:lang w:val="it-IT"/>
        </w:rPr>
        <w:t>biologi, tecnici</w:t>
      </w:r>
      <w:r w:rsidR="00D208E2">
        <w:rPr>
          <w:lang w:val="it-IT"/>
        </w:rPr>
        <w:t xml:space="preserve"> di laboratorio e di radiologia</w:t>
      </w:r>
      <w:r w:rsidR="009B3949">
        <w:rPr>
          <w:lang w:val="it-IT"/>
        </w:rPr>
        <w:t xml:space="preserve">, personale </w:t>
      </w:r>
      <w:r>
        <w:rPr>
          <w:lang w:val="it-IT"/>
        </w:rPr>
        <w:t>di supporto e di pulizia sulle tematiche relative alle ICA</w:t>
      </w:r>
      <w:r w:rsidR="009B3949">
        <w:rPr>
          <w:lang w:val="it-IT"/>
        </w:rPr>
        <w:t>.</w:t>
      </w:r>
    </w:p>
    <w:p w:rsidR="00112A87" w:rsidRDefault="00112A87" w:rsidP="00E6638D">
      <w:pPr>
        <w:pStyle w:val="NormaleWeb"/>
        <w:rPr>
          <w:lang w:val="it-IT"/>
        </w:rPr>
      </w:pPr>
    </w:p>
    <w:p w:rsidR="00112A87" w:rsidRDefault="00112A87" w:rsidP="00E6638D">
      <w:pPr>
        <w:pStyle w:val="NormaleWeb"/>
        <w:rPr>
          <w:lang w:val="it-IT"/>
        </w:rPr>
      </w:pPr>
      <w:r>
        <w:rPr>
          <w:lang w:val="it-IT"/>
        </w:rPr>
        <w:t xml:space="preserve">RESPONSABILE SCIENTIFICO </w:t>
      </w:r>
    </w:p>
    <w:p w:rsidR="00112A87" w:rsidRDefault="00112A87" w:rsidP="00E6638D">
      <w:pPr>
        <w:pStyle w:val="NormaleWeb"/>
        <w:rPr>
          <w:lang w:val="it-IT"/>
        </w:rPr>
      </w:pPr>
      <w:r>
        <w:rPr>
          <w:lang w:val="it-IT"/>
        </w:rPr>
        <w:t xml:space="preserve">DR. EDOARDO ROMOLI </w:t>
      </w:r>
    </w:p>
    <w:p w:rsidR="00112A87" w:rsidRDefault="00112A87" w:rsidP="00E6638D">
      <w:pPr>
        <w:pStyle w:val="NormaleWeb"/>
        <w:rPr>
          <w:lang w:val="it-IT"/>
        </w:rPr>
      </w:pPr>
      <w:r>
        <w:rPr>
          <w:lang w:val="it-IT"/>
        </w:rPr>
        <w:t>DIRETTORE SANITARIO NCL</w:t>
      </w:r>
    </w:p>
    <w:p w:rsidR="00112A87" w:rsidRDefault="00112A87" w:rsidP="00E6638D">
      <w:pPr>
        <w:pStyle w:val="NormaleWeb"/>
        <w:rPr>
          <w:lang w:val="it-IT"/>
        </w:rPr>
      </w:pPr>
    </w:p>
    <w:p w:rsidR="00112A87" w:rsidRPr="00E6638D" w:rsidRDefault="00112A87" w:rsidP="00E6638D">
      <w:pPr>
        <w:pStyle w:val="NormaleWeb"/>
        <w:rPr>
          <w:lang w:val="it-IT"/>
        </w:rPr>
      </w:pPr>
      <w:r>
        <w:rPr>
          <w:lang w:val="it-IT"/>
        </w:rPr>
        <w:t xml:space="preserve">Il corso è rivolto a </w:t>
      </w:r>
      <w:proofErr w:type="gramStart"/>
      <w:r w:rsidR="00D208E2">
        <w:rPr>
          <w:lang w:val="it-IT"/>
        </w:rPr>
        <w:t>Medici ,</w:t>
      </w:r>
      <w:proofErr w:type="gramEnd"/>
      <w:r>
        <w:rPr>
          <w:lang w:val="it-IT"/>
        </w:rPr>
        <w:t xml:space="preserve"> Infermieri</w:t>
      </w:r>
      <w:r w:rsidR="009B3949">
        <w:rPr>
          <w:lang w:val="it-IT"/>
        </w:rPr>
        <w:t>,</w:t>
      </w:r>
      <w:r w:rsidR="00D208E2">
        <w:rPr>
          <w:lang w:val="it-IT"/>
        </w:rPr>
        <w:t xml:space="preserve"> B</w:t>
      </w:r>
      <w:r w:rsidR="00BC096A">
        <w:rPr>
          <w:lang w:val="it-IT"/>
        </w:rPr>
        <w:t xml:space="preserve">iologi, Tecnici di Laboratorio e </w:t>
      </w:r>
      <w:r w:rsidR="00D208E2">
        <w:rPr>
          <w:lang w:val="it-IT"/>
        </w:rPr>
        <w:t>Tecnici di Radiologia</w:t>
      </w:r>
      <w:r w:rsidR="00BC096A">
        <w:rPr>
          <w:lang w:val="it-IT"/>
        </w:rPr>
        <w:t>,</w:t>
      </w:r>
      <w:r>
        <w:rPr>
          <w:lang w:val="it-IT"/>
        </w:rPr>
        <w:t xml:space="preserve"> per un totale di 20 partecipanti.</w:t>
      </w:r>
    </w:p>
    <w:p w:rsidR="00E6638D" w:rsidRPr="00E6638D" w:rsidRDefault="00E6638D" w:rsidP="00E6638D">
      <w:pPr>
        <w:pStyle w:val="NormaleWeb"/>
        <w:rPr>
          <w:lang w:val="it-IT"/>
        </w:rPr>
      </w:pPr>
    </w:p>
    <w:p w:rsidR="00E6638D" w:rsidRPr="00E6638D" w:rsidRDefault="00E6638D" w:rsidP="00845EDA">
      <w:pPr>
        <w:rPr>
          <w:rFonts w:ascii="Arial" w:hAnsi="Arial" w:cs="Arial"/>
          <w:sz w:val="24"/>
          <w:szCs w:val="24"/>
          <w:lang w:val="it-IT"/>
        </w:rPr>
      </w:pPr>
    </w:p>
    <w:sectPr w:rsidR="00E6638D" w:rsidRPr="00E6638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TE2B465D0t00">
    <w:panose1 w:val="00000000000000000000"/>
    <w:charset w:val="00"/>
    <w:family w:val="auto"/>
    <w:notTrueType/>
    <w:pitch w:val="default"/>
    <w:sig w:usb0="00000003" w:usb1="00000000" w:usb2="00000000" w:usb3="00000000" w:csb0="00000001" w:csb1="00000000"/>
  </w:font>
  <w:font w:name="TTE29CFF90t00">
    <w:panose1 w:val="00000000000000000000"/>
    <w:charset w:val="00"/>
    <w:family w:val="auto"/>
    <w:notTrueType/>
    <w:pitch w:val="default"/>
    <w:sig w:usb0="00000003" w:usb1="00000000" w:usb2="00000000" w:usb3="00000000" w:csb0="00000001" w:csb1="00000000"/>
  </w:font>
  <w:font w:name="TTE272246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EDA"/>
    <w:rsid w:val="00100090"/>
    <w:rsid w:val="00112A87"/>
    <w:rsid w:val="001851C4"/>
    <w:rsid w:val="00293060"/>
    <w:rsid w:val="007C16FF"/>
    <w:rsid w:val="00845EDA"/>
    <w:rsid w:val="008C354F"/>
    <w:rsid w:val="008D110E"/>
    <w:rsid w:val="009B3949"/>
    <w:rsid w:val="00AC668F"/>
    <w:rsid w:val="00BC096A"/>
    <w:rsid w:val="00D208E2"/>
    <w:rsid w:val="00DD75A4"/>
    <w:rsid w:val="00E6638D"/>
    <w:rsid w:val="00FF2B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30B03-E9A1-499B-BB6F-B818B25D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5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E6638D"/>
    <w:pPr>
      <w:spacing w:before="100" w:beforeAutospacing="1" w:after="100" w:afterAutospacing="1" w:line="240" w:lineRule="auto"/>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FF2BF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F2BFF"/>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575303">
      <w:bodyDiv w:val="1"/>
      <w:marLeft w:val="0"/>
      <w:marRight w:val="0"/>
      <w:marTop w:val="0"/>
      <w:marBottom w:val="0"/>
      <w:divBdr>
        <w:top w:val="none" w:sz="0" w:space="0" w:color="auto"/>
        <w:left w:val="none" w:sz="0" w:space="0" w:color="auto"/>
        <w:bottom w:val="none" w:sz="0" w:space="0" w:color="auto"/>
        <w:right w:val="none" w:sz="0" w:space="0" w:color="auto"/>
      </w:divBdr>
      <w:divsChild>
        <w:div w:id="1912109957">
          <w:marLeft w:val="0"/>
          <w:marRight w:val="0"/>
          <w:marTop w:val="0"/>
          <w:marBottom w:val="0"/>
          <w:divBdr>
            <w:top w:val="none" w:sz="0" w:space="0" w:color="auto"/>
            <w:left w:val="none" w:sz="0" w:space="0" w:color="auto"/>
            <w:bottom w:val="none" w:sz="0" w:space="0" w:color="auto"/>
            <w:right w:val="none" w:sz="0" w:space="0" w:color="auto"/>
          </w:divBdr>
          <w:divsChild>
            <w:div w:id="155334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4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543</Words>
  <Characters>3100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Antonio Volpi</dc:creator>
  <cp:lastModifiedBy>Utente Windows</cp:lastModifiedBy>
  <cp:revision>5</cp:revision>
  <cp:lastPrinted>2018-06-19T10:04:00Z</cp:lastPrinted>
  <dcterms:created xsi:type="dcterms:W3CDTF">2018-06-21T10:32:00Z</dcterms:created>
  <dcterms:modified xsi:type="dcterms:W3CDTF">2018-06-22T06:33:00Z</dcterms:modified>
</cp:coreProperties>
</file>